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Calibri" w:cs="Calibri" w:eastAsia="Calibri" w:hAnsi="Calibri"/>
          <w:sz w:val="36"/>
          <w:szCs w:val="36"/>
        </w:rPr>
      </w:pPr>
      <w:r w:rsidDel="00000000" w:rsidR="00000000" w:rsidRPr="00000000">
        <w:rPr>
          <w:rFonts w:ascii="Calibri" w:cs="Calibri" w:eastAsia="Calibri" w:hAnsi="Calibri"/>
          <w:sz w:val="36"/>
          <w:szCs w:val="36"/>
          <w:rtl w:val="0"/>
        </w:rPr>
        <w:t xml:space="preserve">JOINT HEALTH &amp; SAFETY RECOMMENDATION</w:t>
      </w:r>
    </w:p>
    <w:p w:rsidR="00000000" w:rsidDel="00000000" w:rsidP="00000000" w:rsidRDefault="00000000" w:rsidRPr="00000000" w14:paraId="00000003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tabs>
          <w:tab w:val="left" w:leader="none" w:pos="5771"/>
        </w:tabs>
        <w:spacing w:after="16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tabs>
          <w:tab w:val="left" w:leader="none" w:pos="5771"/>
        </w:tabs>
        <w:spacing w:after="160" w:lineRule="auto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Recommendation #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ab/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Date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tabs>
          <w:tab w:val="left" w:leader="none" w:pos="5771"/>
        </w:tabs>
        <w:spacing w:after="160" w:lineRule="auto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tabs>
          <w:tab w:val="left" w:leader="none" w:pos="5771"/>
        </w:tabs>
        <w:spacing w:after="16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To: </w:t>
      </w:r>
    </w:p>
    <w:p w:rsidR="00000000" w:rsidDel="00000000" w:rsidP="00000000" w:rsidRDefault="00000000" w:rsidRPr="00000000" w14:paraId="00000008">
      <w:pPr>
        <w:tabs>
          <w:tab w:val="left" w:leader="none" w:pos="5771"/>
        </w:tabs>
        <w:spacing w:after="160" w:lineRule="auto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160" w:line="259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Please respond in writing by ___________________ (21 days)</w:t>
      </w:r>
    </w:p>
    <w:p w:rsidR="00000000" w:rsidDel="00000000" w:rsidP="00000000" w:rsidRDefault="00000000" w:rsidRPr="00000000" w14:paraId="0000000A">
      <w:pPr>
        <w:spacing w:after="160" w:line="259" w:lineRule="auto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160" w:lineRule="auto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Issue</w:t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tabs>
          <w:tab w:val="left" w:leader="none" w:pos="317"/>
        </w:tabs>
        <w:ind w:left="720" w:hanging="360"/>
        <w:rPr>
          <w:rFonts w:ascii="Open Sans" w:cs="Open Sans" w:eastAsia="Open Sans" w:hAnsi="Open Sans"/>
          <w:i w:val="1"/>
        </w:rPr>
      </w:pP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Give a clear and complete description of the issue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tabs>
          <w:tab w:val="left" w:leader="none" w:pos="317"/>
        </w:tabs>
        <w:ind w:left="720" w:hanging="360"/>
        <w:rPr>
          <w:rFonts w:ascii="Open Sans" w:cs="Open Sans" w:eastAsia="Open Sans" w:hAnsi="Open Sans"/>
          <w:i w:val="1"/>
        </w:rPr>
      </w:pP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Describe what, why, who, where, and when</w:t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tabs>
          <w:tab w:val="left" w:leader="none" w:pos="317"/>
        </w:tabs>
        <w:ind w:left="720" w:hanging="360"/>
        <w:rPr>
          <w:rFonts w:ascii="Open Sans" w:cs="Open Sans" w:eastAsia="Open Sans" w:hAnsi="Open Sans"/>
          <w:i w:val="1"/>
        </w:rPr>
      </w:pP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Reference the relevant section(s) of the Occupational Health and Safety Regulation where applicable</w:t>
      </w:r>
    </w:p>
    <w:p w:rsidR="00000000" w:rsidDel="00000000" w:rsidP="00000000" w:rsidRDefault="00000000" w:rsidRPr="00000000" w14:paraId="0000000F">
      <w:pPr>
        <w:spacing w:after="160" w:line="259" w:lineRule="auto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160" w:line="259" w:lineRule="auto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160" w:lineRule="auto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Committee recommendation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tabs>
          <w:tab w:val="left" w:leader="none" w:pos="317"/>
        </w:tabs>
        <w:ind w:left="767" w:hanging="360"/>
        <w:rPr>
          <w:rFonts w:ascii="Open Sans" w:cs="Open Sans" w:eastAsia="Open Sans" w:hAnsi="Open Sans"/>
          <w:i w:val="1"/>
        </w:rPr>
      </w:pP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Make sure the recommendation deals with workplace health and safety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tabs>
          <w:tab w:val="left" w:leader="none" w:pos="317"/>
        </w:tabs>
        <w:ind w:left="767" w:hanging="360"/>
        <w:rPr>
          <w:rFonts w:ascii="Open Sans" w:cs="Open Sans" w:eastAsia="Open Sans" w:hAnsi="Open Sans"/>
          <w:i w:val="1"/>
        </w:rPr>
      </w:pP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Include rationale for your recommendation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tabs>
          <w:tab w:val="left" w:leader="none" w:pos="317"/>
        </w:tabs>
        <w:ind w:left="767" w:hanging="360"/>
        <w:rPr>
          <w:rFonts w:ascii="Open Sans" w:cs="Open Sans" w:eastAsia="Open Sans" w:hAnsi="Open Sans"/>
          <w:i w:val="1"/>
        </w:rPr>
      </w:pP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If applicable, include options and pros and cons of each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tabs>
          <w:tab w:val="left" w:leader="none" w:pos="317"/>
        </w:tabs>
        <w:ind w:left="767" w:hanging="360"/>
        <w:rPr>
          <w:rFonts w:ascii="Open Sans" w:cs="Open Sans" w:eastAsia="Open Sans" w:hAnsi="Open Sans"/>
          <w:i w:val="1"/>
        </w:rPr>
      </w:pP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For complex issues, include steps involved and suggest time frame for implementation</w:t>
      </w:r>
    </w:p>
    <w:p w:rsidR="00000000" w:rsidDel="00000000" w:rsidP="00000000" w:rsidRDefault="00000000" w:rsidRPr="00000000" w14:paraId="00000016">
      <w:pPr>
        <w:spacing w:after="160" w:line="259" w:lineRule="auto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160" w:line="259" w:lineRule="auto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160" w:lineRule="auto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Committee decision</w:t>
      </w:r>
    </w:p>
    <w:p w:rsidR="00000000" w:rsidDel="00000000" w:rsidP="00000000" w:rsidRDefault="00000000" w:rsidRPr="00000000" w14:paraId="00000019">
      <w:pPr>
        <w:numPr>
          <w:ilvl w:val="0"/>
          <w:numId w:val="3"/>
        </w:numPr>
        <w:tabs>
          <w:tab w:val="left" w:leader="none" w:pos="317"/>
        </w:tabs>
        <w:ind w:left="767" w:hanging="360"/>
        <w:rPr>
          <w:rFonts w:ascii="Open Sans" w:cs="Open Sans" w:eastAsia="Open Sans" w:hAnsi="Open Sans"/>
          <w:i w:val="1"/>
        </w:rPr>
      </w:pP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Indicate if this recommendation was voted on or decided by consensus</w:t>
      </w:r>
    </w:p>
    <w:p w:rsidR="00000000" w:rsidDel="00000000" w:rsidP="00000000" w:rsidRDefault="00000000" w:rsidRPr="00000000" w14:paraId="0000001A">
      <w:pPr>
        <w:spacing w:after="160" w:line="259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sectPr>
      <w:headerReference r:id="rId7" w:type="default"/>
      <w:pgSz w:h="15840" w:w="12240" w:orient="portrait"/>
      <w:pgMar w:bottom="1440" w:top="1134" w:left="1440" w:right="1440" w:header="283" w:footer="31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Calibri"/>
  <w:font w:name="Courier New"/>
  <w:font w:name="Libre Franklin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Noto Sans Symbols">
    <w:embedRegular w:fontKey="{00000000-0000-0000-0000-000000000000}" r:id="rId7" w:subsetted="0"/>
    <w:embedBold w:fontKey="{00000000-0000-0000-0000-000000000000}" r:id="rId8" w:subsetted="0"/>
  </w:font>
  <w:font w:name="Open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9000"/>
      </w:tabs>
      <w:spacing w:after="0" w:before="0" w:line="240" w:lineRule="auto"/>
      <w:ind w:left="0" w:right="0" w:firstLine="0"/>
      <w:jc w:val="center"/>
      <w:rPr>
        <w:rFonts w:ascii="Tahoma" w:cs="Tahoma" w:eastAsia="Tahoma" w:hAnsi="Tahom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</w:rPr>
      <w:drawing>
        <wp:inline distB="114300" distT="114300" distL="114300" distR="114300">
          <wp:extent cx="2199132" cy="648462"/>
          <wp:effectExtent b="0" l="0" r="0" t="0"/>
          <wp:docPr id="1034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199132" cy="64846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0"/>
      </w:rPr>
      <w:t xml:space="preserve">       </w:t>
      <w:tab/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▪"/>
      <w:lvlJc w:val="left"/>
      <w:pPr>
        <w:ind w:left="767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87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207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927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47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67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87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807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527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▪"/>
      <w:lvlJc w:val="left"/>
      <w:pPr>
        <w:ind w:left="767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87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207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927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47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67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87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807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527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ibre Franklin" w:cs="Libre Franklin" w:eastAsia="Libre Franklin" w:hAnsi="Libre Franklin"/>
        <w:sz w:val="22"/>
        <w:szCs w:val="22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Franklin Gothic Book" w:eastAsia="Times New Roman" w:hAnsi="Franklin Gothic Book"/>
      <w:w w:val="100"/>
      <w:position w:val="-1"/>
      <w:sz w:val="22"/>
      <w:effect w:val="none"/>
      <w:vertAlign w:val="baseline"/>
      <w:cs w:val="0"/>
      <w:em w:val="none"/>
      <w:lang w:bidi="ar-SA" w:eastAsia="en-US" w:val="en-US"/>
    </w:rPr>
  </w:style>
  <w:style w:type="character" w:styleId="DefaultParagraphFont">
    <w:name w:val="Default Paragraph Font"/>
    <w:next w:val="DefaultParagraphFont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BalloonText">
    <w:name w:val="Balloon Text"/>
    <w:basedOn w:val="Normal"/>
    <w:next w:val="BalloonTex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Calibri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CA"/>
    </w:rPr>
  </w:style>
  <w:style w:type="character" w:styleId="BalloonTextChar">
    <w:name w:val="Balloon Text Char"/>
    <w:next w:val="BalloonTextCh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paragraph" w:styleId="Header">
    <w:name w:val="Header"/>
    <w:basedOn w:val="Normal"/>
    <w:next w:val="Header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libri" w:cs="Times New Roman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n-CA"/>
    </w:rPr>
  </w:style>
  <w:style w:type="character" w:styleId="HeaderChar">
    <w:name w:val="Header Char"/>
    <w:basedOn w:val="DefaultParagraphFont"/>
    <w:next w:val="HeaderCh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Footer">
    <w:name w:val="Footer"/>
    <w:basedOn w:val="Normal"/>
    <w:next w:val="Footer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libri" w:cs="Times New Roman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n-CA"/>
    </w:rPr>
  </w:style>
  <w:style w:type="character" w:styleId="FooterChar">
    <w:name w:val="Footer Char"/>
    <w:basedOn w:val="DefaultParagraphFont"/>
    <w:next w:val="FooterCh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ListParagraph">
    <w:name w:val="List Paragraph"/>
    <w:basedOn w:val="Normal"/>
    <w:next w:val="ListParagraph"/>
    <w:autoRedefine w:val="0"/>
    <w:hidden w:val="0"/>
    <w:qFormat w:val="0"/>
    <w:pPr>
      <w:suppressAutoHyphens w:val="1"/>
      <w:spacing w:line="1" w:lineRule="atLeast"/>
      <w:ind w:left="720" w:leftChars="-1" w:rightChars="0" w:firstLineChars="-1"/>
      <w:contextualSpacing w:val="1"/>
      <w:textDirection w:val="btLr"/>
      <w:textAlignment w:val="top"/>
      <w:outlineLvl w:val="0"/>
    </w:pPr>
    <w:rPr>
      <w:rFonts w:ascii="Franklin Gothic Book" w:eastAsia="Times New Roman" w:hAnsi="Franklin Gothic Book"/>
      <w:w w:val="100"/>
      <w:position w:val="-1"/>
      <w:sz w:val="22"/>
      <w:effect w:val="none"/>
      <w:vertAlign w:val="baseline"/>
      <w:cs w:val="0"/>
      <w:em w:val="none"/>
      <w:lang w:bidi="ar-SA" w:eastAsia="en-US" w:val="en-US"/>
    </w:rPr>
  </w:style>
  <w:style w:type="character" w:styleId="Hyperlink">
    <w:name w:val="Hyperlink"/>
    <w:next w:val="Hyperlink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clause-e">
    <w:name w:val="clause-e"/>
    <w:basedOn w:val="Normal"/>
    <w:next w:val="clause-e"/>
    <w:autoRedefine w:val="0"/>
    <w:hidden w:val="0"/>
    <w:qFormat w:val="0"/>
    <w:pPr>
      <w:suppressAutoHyphens w:val="1"/>
      <w:spacing w:after="120" w:line="1" w:lineRule="atLeast"/>
      <w:ind w:left="1111" w:leftChars="-1" w:rightChars="0" w:hanging="400" w:firstLineChars="-1"/>
      <w:textDirection w:val="btLr"/>
      <w:textAlignment w:val="top"/>
      <w:outlineLvl w:val="0"/>
    </w:pPr>
    <w:rPr>
      <w:rFonts w:ascii="Times New Roman" w:eastAsia="Times New Roman" w:hAnsi="Times New Roman"/>
      <w:color w:val="000000"/>
      <w:w w:val="100"/>
      <w:position w:val="-1"/>
      <w:sz w:val="26"/>
      <w:szCs w:val="26"/>
      <w:effect w:val="none"/>
      <w:vertAlign w:val="baseline"/>
      <w:cs w:val="0"/>
      <w:em w:val="none"/>
      <w:lang w:bidi="ar-SA" w:eastAsia="en-CA" w:val="en-CA"/>
    </w:rPr>
  </w:style>
  <w:style w:type="paragraph" w:styleId="section-e">
    <w:name w:val="section-e"/>
    <w:basedOn w:val="Normal"/>
    <w:next w:val="section-e"/>
    <w:autoRedefine w:val="0"/>
    <w:hidden w:val="0"/>
    <w:qFormat w:val="0"/>
    <w:pPr>
      <w:suppressAutoHyphens w:val="1"/>
      <w:spacing w:after="120" w:line="1" w:lineRule="atLeast"/>
      <w:ind w:leftChars="-1" w:rightChars="0" w:firstLine="600" w:firstLineChars="-1"/>
      <w:textDirection w:val="btLr"/>
      <w:textAlignment w:val="top"/>
      <w:outlineLvl w:val="0"/>
    </w:pPr>
    <w:rPr>
      <w:rFonts w:ascii="Times New Roman" w:eastAsia="Times New Roman" w:hAnsi="Times New Roman"/>
      <w:color w:val="000000"/>
      <w:w w:val="100"/>
      <w:position w:val="-1"/>
      <w:sz w:val="26"/>
      <w:szCs w:val="26"/>
      <w:effect w:val="none"/>
      <w:vertAlign w:val="baseline"/>
      <w:cs w:val="0"/>
      <w:em w:val="none"/>
      <w:lang w:bidi="ar-SA" w:eastAsia="en-CA" w:val="en-CA"/>
    </w:rPr>
  </w:style>
  <w:style w:type="paragraph" w:styleId="subsection-e">
    <w:name w:val="subsection-e"/>
    <w:basedOn w:val="Normal"/>
    <w:next w:val="subsection-e"/>
    <w:autoRedefine w:val="0"/>
    <w:hidden w:val="0"/>
    <w:qFormat w:val="0"/>
    <w:pPr>
      <w:suppressAutoHyphens w:val="1"/>
      <w:spacing w:after="120" w:line="1" w:lineRule="atLeast"/>
      <w:ind w:leftChars="-1" w:rightChars="0" w:firstLine="600" w:firstLineChars="-1"/>
      <w:textDirection w:val="btLr"/>
      <w:textAlignment w:val="top"/>
      <w:outlineLvl w:val="0"/>
    </w:pPr>
    <w:rPr>
      <w:rFonts w:ascii="Times New Roman" w:eastAsia="Times New Roman" w:hAnsi="Times New Roman"/>
      <w:color w:val="000000"/>
      <w:w w:val="100"/>
      <w:position w:val="-1"/>
      <w:sz w:val="26"/>
      <w:szCs w:val="26"/>
      <w:effect w:val="none"/>
      <w:vertAlign w:val="baseline"/>
      <w:cs w:val="0"/>
      <w:em w:val="none"/>
      <w:lang w:bidi="ar-SA" w:eastAsia="en-CA" w:val="en-CA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rPr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ibreFranklin-regular.ttf"/><Relationship Id="rId2" Type="http://schemas.openxmlformats.org/officeDocument/2006/relationships/font" Target="fonts/LibreFranklin-bold.ttf"/><Relationship Id="rId3" Type="http://schemas.openxmlformats.org/officeDocument/2006/relationships/font" Target="fonts/LibreFranklin-italic.ttf"/><Relationship Id="rId4" Type="http://schemas.openxmlformats.org/officeDocument/2006/relationships/font" Target="fonts/LibreFranklin-boldItalic.ttf"/><Relationship Id="rId11" Type="http://schemas.openxmlformats.org/officeDocument/2006/relationships/font" Target="fonts/OpenSans-italic.ttf"/><Relationship Id="rId10" Type="http://schemas.openxmlformats.org/officeDocument/2006/relationships/font" Target="fonts/OpenSans-bold.ttf"/><Relationship Id="rId12" Type="http://schemas.openxmlformats.org/officeDocument/2006/relationships/font" Target="fonts/OpenSans-boldItalic.ttf"/><Relationship Id="rId9" Type="http://schemas.openxmlformats.org/officeDocument/2006/relationships/font" Target="fonts/OpenSans-regular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2oKXoWnoRJNhHYVi5cP0g8HJIg==">CgMxLjA4AHIhMW9FdzdoSXJGVE1rZ0VxWm1Wd0RENHZHQndZVWNTZVEz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2020-08-16T14:48:00Z</dcterms:created>
  <dc:creator>Jen Joyce</dc:creator>
</cp:coreProperties>
</file>